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/>
          <w:color w:val="A50007"/>
          <w:sz w:val="32"/>
          <w:szCs w:val="32"/>
          <w:shd w:val="clear" w:color="auto" w:fill="FFFFFF"/>
        </w:rPr>
      </w:pPr>
      <w:r>
        <w:rPr>
          <w:rFonts w:ascii="微软雅黑" w:hAnsi="微软雅黑"/>
          <w:color w:val="A50007"/>
          <w:sz w:val="32"/>
          <w:szCs w:val="32"/>
          <w:shd w:val="clear" w:color="auto" w:fill="FFFFFF"/>
        </w:rPr>
        <w:t>固体废物污染环境防治信息公告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/>
          <w:color w:val="auto"/>
          <w:sz w:val="28"/>
          <w:szCs w:val="28"/>
        </w:rPr>
      </w:pPr>
      <w:r>
        <w:rPr>
          <w:rFonts w:ascii="微软雅黑" w:hAnsi="微软雅黑"/>
          <w:color w:val="auto"/>
          <w:sz w:val="28"/>
          <w:szCs w:val="28"/>
        </w:rPr>
        <w:t>为全面贯彻落实《中华人民共和国固体废物污染环境防治法》，现将</w:t>
      </w:r>
      <w:r>
        <w:rPr>
          <w:rFonts w:hint="eastAsia" w:ascii="微软雅黑" w:hAnsi="微软雅黑"/>
          <w:color w:val="auto"/>
          <w:sz w:val="28"/>
          <w:szCs w:val="28"/>
        </w:rPr>
        <w:t>石家庄驰远化</w:t>
      </w:r>
      <w:r>
        <w:rPr>
          <w:rFonts w:ascii="微软雅黑" w:hAnsi="微软雅黑"/>
          <w:color w:val="auto"/>
          <w:sz w:val="28"/>
          <w:szCs w:val="28"/>
        </w:rPr>
        <w:t>有限公司固体废物污染环境防治信息公告如下：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/>
          <w:color w:val="auto"/>
          <w:sz w:val="28"/>
          <w:szCs w:val="28"/>
        </w:rPr>
      </w:pPr>
      <w:r>
        <w:rPr>
          <w:rFonts w:ascii="微软雅黑" w:hAnsi="微软雅黑"/>
          <w:color w:val="auto"/>
          <w:sz w:val="28"/>
          <w:szCs w:val="28"/>
        </w:rPr>
        <w:t>     20</w:t>
      </w:r>
      <w:r>
        <w:rPr>
          <w:rFonts w:hint="eastAsia" w:ascii="微软雅黑" w:hAnsi="微软雅黑"/>
          <w:color w:val="auto"/>
          <w:sz w:val="28"/>
          <w:szCs w:val="28"/>
        </w:rPr>
        <w:t>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ascii="微软雅黑" w:hAnsi="微软雅黑"/>
          <w:color w:val="auto"/>
          <w:sz w:val="28"/>
          <w:szCs w:val="28"/>
        </w:rPr>
        <w:t>年度危险废物品种包括废活性炭（900-039-49）、污泥（900-046-49）、</w:t>
      </w:r>
      <w:r>
        <w:rPr>
          <w:rFonts w:hint="eastAsia" w:ascii="微软雅黑" w:hAnsi="微软雅黑"/>
          <w:color w:val="auto"/>
          <w:sz w:val="28"/>
          <w:szCs w:val="28"/>
        </w:rPr>
        <w:t>废油漆桶</w:t>
      </w:r>
      <w:r>
        <w:rPr>
          <w:rFonts w:ascii="微软雅黑" w:hAnsi="微软雅黑"/>
          <w:color w:val="auto"/>
          <w:sz w:val="28"/>
          <w:szCs w:val="28"/>
        </w:rPr>
        <w:t>（900-041-49）、</w:t>
      </w:r>
      <w:r>
        <w:rPr>
          <w:rFonts w:hint="eastAsia" w:ascii="微软雅黑" w:hAnsi="微软雅黑"/>
          <w:color w:val="auto"/>
          <w:sz w:val="28"/>
          <w:szCs w:val="28"/>
        </w:rPr>
        <w:t>废有机溶剂</w:t>
      </w:r>
      <w:r>
        <w:rPr>
          <w:rFonts w:ascii="微软雅黑" w:hAnsi="微软雅黑"/>
          <w:color w:val="auto"/>
          <w:sz w:val="28"/>
          <w:szCs w:val="28"/>
        </w:rPr>
        <w:t>（900-047-49）、废机油（900-217-08）</w:t>
      </w:r>
      <w:r>
        <w:rPr>
          <w:rFonts w:hint="eastAsia" w:ascii="微软雅黑" w:hAnsi="微软雅黑"/>
          <w:color w:val="auto"/>
          <w:sz w:val="28"/>
          <w:szCs w:val="28"/>
        </w:rPr>
        <w:t>、废试剂瓶（900-041-49）、在线监测设备废液（900-047-49）、污水站化验废液（900-047-49）</w:t>
      </w:r>
      <w:r>
        <w:rPr>
          <w:rFonts w:ascii="微软雅黑" w:hAnsi="微软雅黑"/>
          <w:color w:val="auto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/>
          <w:color w:val="auto"/>
          <w:sz w:val="28"/>
          <w:szCs w:val="28"/>
        </w:rPr>
      </w:pPr>
      <w:r>
        <w:rPr>
          <w:rFonts w:ascii="微软雅黑" w:hAnsi="微软雅黑"/>
          <w:color w:val="auto"/>
          <w:sz w:val="28"/>
          <w:szCs w:val="28"/>
        </w:rPr>
        <w:t>20</w:t>
      </w:r>
      <w:r>
        <w:rPr>
          <w:rFonts w:hint="eastAsia" w:ascii="微软雅黑" w:hAnsi="微软雅黑"/>
          <w:color w:val="auto"/>
          <w:sz w:val="28"/>
          <w:szCs w:val="28"/>
        </w:rPr>
        <w:t>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ascii="微软雅黑" w:hAnsi="微软雅黑"/>
          <w:color w:val="auto"/>
          <w:sz w:val="28"/>
          <w:szCs w:val="28"/>
        </w:rPr>
        <w:t>年度废活性炭产生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3.145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2.675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0.47吨</w:t>
      </w:r>
      <w:r>
        <w:rPr>
          <w:rFonts w:ascii="微软雅黑" w:hAnsi="微软雅黑"/>
          <w:color w:val="auto"/>
          <w:sz w:val="28"/>
          <w:szCs w:val="28"/>
        </w:rPr>
        <w:t>；污泥产生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16.697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14.528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2.169吨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废油漆桶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0.4091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3761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0.033吨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废有机溶剂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2263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1812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0.0614吨</w:t>
      </w:r>
      <w:r>
        <w:rPr>
          <w:rFonts w:ascii="微软雅黑" w:hAnsi="微软雅黑"/>
          <w:color w:val="auto"/>
          <w:sz w:val="28"/>
          <w:szCs w:val="28"/>
        </w:rPr>
        <w:t>；废机油产生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3206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</w:rPr>
        <w:t>0.2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18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0.1026吨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废试剂瓶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2638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</w:rPr>
        <w:t>0.29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72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0.0558吨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在线监测设备废液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3046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2526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0.052吨</w:t>
      </w:r>
      <w:r>
        <w:rPr>
          <w:rFonts w:hint="eastAsia" w:ascii="微软雅黑" w:hAnsi="微软雅黑"/>
          <w:color w:val="auto"/>
          <w:sz w:val="28"/>
          <w:szCs w:val="28"/>
        </w:rPr>
        <w:t>；污水站化验废液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0785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</w:rPr>
        <w:t>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0785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</w:rPr>
        <w:t>。</w:t>
      </w:r>
      <w:r>
        <w:rPr>
          <w:rFonts w:ascii="微软雅黑" w:hAnsi="微软雅黑"/>
          <w:color w:val="auto"/>
          <w:sz w:val="28"/>
          <w:szCs w:val="28"/>
        </w:rPr>
        <w:t>20</w:t>
      </w:r>
      <w:r>
        <w:rPr>
          <w:rFonts w:hint="eastAsia" w:ascii="微软雅黑" w:hAnsi="微软雅黑"/>
          <w:color w:val="auto"/>
          <w:sz w:val="28"/>
          <w:szCs w:val="28"/>
        </w:rPr>
        <w:t>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ascii="微软雅黑" w:hAnsi="微软雅黑"/>
          <w:color w:val="auto"/>
          <w:sz w:val="28"/>
          <w:szCs w:val="28"/>
        </w:rPr>
        <w:t>年度危险废物均为省内转移，</w:t>
      </w:r>
      <w:r>
        <w:rPr>
          <w:rFonts w:hint="eastAsia" w:ascii="微软雅黑" w:hAnsi="微软雅黑"/>
          <w:color w:val="auto"/>
          <w:sz w:val="28"/>
          <w:szCs w:val="28"/>
        </w:rPr>
        <w:t>转移至河北翔宇环保有限公司进行处置，</w:t>
      </w:r>
      <w:r>
        <w:rPr>
          <w:rFonts w:ascii="微软雅黑" w:hAnsi="微软雅黑"/>
          <w:color w:val="auto"/>
          <w:sz w:val="28"/>
          <w:szCs w:val="28"/>
        </w:rPr>
        <w:t>目前无自行处理设施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</w:pPr>
      <w:r>
        <w:rPr>
          <w:rFonts w:hint="eastAsia" w:ascii="微软雅黑" w:hAnsi="微软雅黑"/>
          <w:color w:val="auto"/>
          <w:sz w:val="28"/>
          <w:szCs w:val="28"/>
        </w:rPr>
        <w:t>202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</w:t>
      </w:r>
      <w:r>
        <w:rPr>
          <w:rFonts w:hint="eastAsia" w:ascii="微软雅黑" w:hAnsi="微软雅黑"/>
          <w:color w:val="auto"/>
          <w:sz w:val="28"/>
          <w:szCs w:val="28"/>
        </w:rPr>
        <w:t>年度危废计划转移量</w:t>
      </w:r>
      <w:r>
        <w:rPr>
          <w:rFonts w:ascii="微软雅黑" w:hAnsi="微软雅黑"/>
          <w:color w:val="auto"/>
          <w:sz w:val="28"/>
          <w:szCs w:val="28"/>
        </w:rPr>
        <w:t>废活性炭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5</w:t>
      </w:r>
      <w:r>
        <w:rPr>
          <w:rFonts w:hint="eastAsia" w:ascii="微软雅黑" w:hAnsi="微软雅黑"/>
          <w:color w:val="auto"/>
          <w:sz w:val="28"/>
          <w:szCs w:val="28"/>
        </w:rPr>
        <w:t>吨</w:t>
      </w:r>
      <w:r>
        <w:rPr>
          <w:rFonts w:ascii="微软雅黑" w:hAnsi="微软雅黑"/>
          <w:color w:val="auto"/>
          <w:sz w:val="28"/>
          <w:szCs w:val="28"/>
        </w:rPr>
        <w:t>、污泥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22</w:t>
      </w:r>
      <w:r>
        <w:rPr>
          <w:rFonts w:hint="eastAsia" w:ascii="微软雅黑" w:hAnsi="微软雅黑"/>
          <w:color w:val="auto"/>
          <w:sz w:val="28"/>
          <w:szCs w:val="28"/>
        </w:rPr>
        <w:t>吨</w:t>
      </w:r>
      <w:r>
        <w:rPr>
          <w:rFonts w:ascii="微软雅黑" w:hAnsi="微软雅黑"/>
          <w:color w:val="auto"/>
          <w:sz w:val="28"/>
          <w:szCs w:val="28"/>
        </w:rPr>
        <w:t>、</w:t>
      </w:r>
      <w:r>
        <w:rPr>
          <w:rFonts w:hint="eastAsia" w:ascii="微软雅黑" w:hAnsi="微软雅黑"/>
          <w:color w:val="auto"/>
          <w:sz w:val="28"/>
          <w:szCs w:val="28"/>
        </w:rPr>
        <w:t>废油漆桶0.7吨</w:t>
      </w:r>
      <w:r>
        <w:rPr>
          <w:rFonts w:ascii="微软雅黑" w:hAnsi="微软雅黑"/>
          <w:color w:val="auto"/>
          <w:sz w:val="28"/>
          <w:szCs w:val="28"/>
        </w:rPr>
        <w:t>、</w:t>
      </w:r>
      <w:r>
        <w:rPr>
          <w:rFonts w:hint="eastAsia" w:ascii="微软雅黑" w:hAnsi="微软雅黑"/>
          <w:color w:val="auto"/>
          <w:sz w:val="28"/>
          <w:szCs w:val="28"/>
        </w:rPr>
        <w:t>废有机溶剂0.5吨</w:t>
      </w:r>
      <w:r>
        <w:rPr>
          <w:rFonts w:ascii="微软雅黑" w:hAnsi="微软雅黑"/>
          <w:color w:val="auto"/>
          <w:sz w:val="28"/>
          <w:szCs w:val="28"/>
        </w:rPr>
        <w:t>、废机油</w:t>
      </w:r>
      <w:r>
        <w:rPr>
          <w:rFonts w:hint="eastAsia" w:ascii="微软雅黑" w:hAnsi="微软雅黑"/>
          <w:color w:val="auto"/>
          <w:sz w:val="28"/>
          <w:szCs w:val="28"/>
        </w:rPr>
        <w:t>1吨、废试剂瓶0.5吨、在线监测设备废液0.5吨、污水站化验废液0.5吨</w:t>
      </w:r>
      <w:r>
        <w:rPr>
          <w:rFonts w:ascii="微软雅黑" w:hAnsi="微软雅黑"/>
          <w:color w:val="auto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right="0" w:firstLine="280" w:firstLineChars="100"/>
        <w:textAlignment w:val="auto"/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危险废物委托处置单位情况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right="0" w:firstLine="280" w:firstLineChars="100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河北翔宇环保科技有限公司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焚烧处理（D10）,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危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险废物经营许可证编号：1301330051 有效期自2020年4月14日至2025年4月13日。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根据《危险废物贮存污染控制标准》（GB 18597-2001）要求，我公司建设危废库房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具体情况如下：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危废库房专门盛放公司产生的危险废物，禁止其它无关东西堆放在危废库房。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危废库房满足防风、防雨、防晒的三防要求。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没有将不相容的废物混合和合并存放。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危废库房门口设置警示标识牌和危险信息牌。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5、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危险废物分类存放，并设置相应的危废标识牌。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6、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危废库房有泄露液体收集装置、气体导出口及气体净化装置、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7、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实行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人双锁制度。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8、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危废库房地面及墙体四周均做防渗处理。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盛装危险废物的容器黏贴标签并按照规范填写。</w:t>
      </w:r>
    </w:p>
    <w:p>
      <w:pPr>
        <w:ind w:firstLine="560" w:firstLineChars="200"/>
        <w:rPr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10、危废产生储存台账按照要求正确填写。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48"/>
    <w:rsid w:val="001F4093"/>
    <w:rsid w:val="001F7E91"/>
    <w:rsid w:val="005951FE"/>
    <w:rsid w:val="006B660A"/>
    <w:rsid w:val="00924548"/>
    <w:rsid w:val="00B12E14"/>
    <w:rsid w:val="00EC4547"/>
    <w:rsid w:val="17F624AD"/>
    <w:rsid w:val="2CF22952"/>
    <w:rsid w:val="46030791"/>
    <w:rsid w:val="791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2021-12-09T02:00:00Z</dcterms:created>
  <dc:creator>高海芳</dc:creator>
  <cp:lastModifiedBy>Administrator</cp:lastModifiedBy>
  <dcterms:modified xsi:type="dcterms:W3CDTF">2022-02-24T00:48:50Z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109D51F4957E4E389E17AFD101DE9AAE</vt:lpwstr>
  </property>
</Properties>
</file>